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8F" w:rsidRDefault="000F2F8F">
      <w:pPr>
        <w:pStyle w:val="BodyText"/>
        <w:rPr>
          <w:rFonts w:ascii="Times New Roman"/>
        </w:rPr>
      </w:pPr>
    </w:p>
    <w:p w:rsidR="000F2F8F" w:rsidRDefault="00736385">
      <w:pPr>
        <w:spacing w:before="165"/>
        <w:ind w:left="660"/>
        <w:rPr>
          <w:sz w:val="52"/>
        </w:rPr>
      </w:pPr>
      <w:r>
        <w:rPr>
          <w:color w:val="581A18"/>
          <w:sz w:val="52"/>
        </w:rPr>
        <w:t xml:space="preserve">You have been referred to see </w:t>
      </w:r>
      <w:proofErr w:type="gramStart"/>
      <w:r>
        <w:rPr>
          <w:color w:val="581A18"/>
          <w:sz w:val="52"/>
        </w:rPr>
        <w:t xml:space="preserve">a  </w:t>
      </w:r>
      <w:r>
        <w:rPr>
          <w:color w:val="FFFFFF"/>
          <w:sz w:val="52"/>
        </w:rPr>
        <w:t>Specialist</w:t>
      </w:r>
      <w:proofErr w:type="gramEnd"/>
    </w:p>
    <w:p w:rsidR="000F2F8F" w:rsidRDefault="00736385">
      <w:pPr>
        <w:spacing w:before="452" w:line="276" w:lineRule="auto"/>
        <w:ind w:left="660" w:right="5468"/>
      </w:pPr>
      <w:r>
        <w:rPr>
          <w:b/>
          <w:color w:val="581A18"/>
          <w:spacing w:val="7"/>
        </w:rPr>
        <w:t xml:space="preserve">This leaflet could save </w:t>
      </w:r>
      <w:r>
        <w:rPr>
          <w:b/>
          <w:color w:val="581A18"/>
          <w:spacing w:val="5"/>
        </w:rPr>
        <w:t xml:space="preserve">you </w:t>
      </w:r>
      <w:r>
        <w:rPr>
          <w:b/>
          <w:color w:val="581A18"/>
          <w:spacing w:val="6"/>
        </w:rPr>
        <w:t xml:space="preserve">and your </w:t>
      </w:r>
      <w:r>
        <w:rPr>
          <w:b/>
          <w:color w:val="581A18"/>
          <w:spacing w:val="5"/>
        </w:rPr>
        <w:t xml:space="preserve">GP </w:t>
      </w:r>
      <w:r>
        <w:rPr>
          <w:b/>
          <w:color w:val="581A18"/>
          <w:spacing w:val="7"/>
        </w:rPr>
        <w:t xml:space="preserve">time </w:t>
      </w:r>
      <w:r>
        <w:rPr>
          <w:color w:val="581A18"/>
        </w:rPr>
        <w:t xml:space="preserve">– </w:t>
      </w:r>
      <w:r>
        <w:rPr>
          <w:color w:val="581A18"/>
          <w:spacing w:val="4"/>
        </w:rPr>
        <w:t xml:space="preserve">It </w:t>
      </w:r>
      <w:r>
        <w:rPr>
          <w:color w:val="581A18"/>
          <w:spacing w:val="7"/>
        </w:rPr>
        <w:t xml:space="preserve">provides guidance </w:t>
      </w:r>
      <w:r>
        <w:rPr>
          <w:color w:val="581A18"/>
          <w:spacing w:val="5"/>
        </w:rPr>
        <w:t xml:space="preserve">on </w:t>
      </w:r>
      <w:r>
        <w:rPr>
          <w:color w:val="581A18"/>
          <w:spacing w:val="6"/>
        </w:rPr>
        <w:t xml:space="preserve">what </w:t>
      </w:r>
      <w:r>
        <w:rPr>
          <w:color w:val="581A18"/>
          <w:spacing w:val="4"/>
        </w:rPr>
        <w:t xml:space="preserve">to </w:t>
      </w:r>
      <w:r>
        <w:rPr>
          <w:color w:val="581A18"/>
          <w:spacing w:val="7"/>
        </w:rPr>
        <w:t xml:space="preserve">expect </w:t>
      </w:r>
      <w:r>
        <w:rPr>
          <w:color w:val="581A18"/>
          <w:spacing w:val="6"/>
        </w:rPr>
        <w:t>when</w:t>
      </w:r>
      <w:r>
        <w:rPr>
          <w:color w:val="581A18"/>
          <w:spacing w:val="61"/>
        </w:rPr>
        <w:t xml:space="preserve"> </w:t>
      </w:r>
      <w:r>
        <w:rPr>
          <w:color w:val="581A18"/>
          <w:spacing w:val="6"/>
        </w:rPr>
        <w:t xml:space="preserve">you are </w:t>
      </w:r>
      <w:r>
        <w:rPr>
          <w:color w:val="581A18"/>
          <w:spacing w:val="7"/>
        </w:rPr>
        <w:t xml:space="preserve">referred </w:t>
      </w:r>
      <w:r>
        <w:rPr>
          <w:color w:val="581A18"/>
          <w:spacing w:val="4"/>
        </w:rPr>
        <w:t xml:space="preserve">by </w:t>
      </w:r>
      <w:r>
        <w:rPr>
          <w:color w:val="581A18"/>
          <w:spacing w:val="6"/>
        </w:rPr>
        <w:t xml:space="preserve">your </w:t>
      </w:r>
      <w:r>
        <w:rPr>
          <w:color w:val="581A18"/>
          <w:spacing w:val="4"/>
        </w:rPr>
        <w:t xml:space="preserve">GP to </w:t>
      </w:r>
      <w:r>
        <w:rPr>
          <w:color w:val="581A18"/>
          <w:spacing w:val="5"/>
        </w:rPr>
        <w:t xml:space="preserve">see </w:t>
      </w:r>
      <w:r>
        <w:rPr>
          <w:color w:val="581A18"/>
        </w:rPr>
        <w:t xml:space="preserve">a </w:t>
      </w:r>
      <w:r>
        <w:rPr>
          <w:color w:val="581A18"/>
          <w:spacing w:val="7"/>
        </w:rPr>
        <w:t xml:space="preserve">Specialist </w:t>
      </w:r>
      <w:r>
        <w:rPr>
          <w:color w:val="581A18"/>
          <w:spacing w:val="6"/>
        </w:rPr>
        <w:t>(or</w:t>
      </w:r>
      <w:r>
        <w:rPr>
          <w:color w:val="581A18"/>
          <w:spacing w:val="24"/>
        </w:rPr>
        <w:t xml:space="preserve"> </w:t>
      </w:r>
      <w:r>
        <w:rPr>
          <w:color w:val="581A18"/>
          <w:spacing w:val="8"/>
        </w:rPr>
        <w:t>therapist).</w:t>
      </w:r>
    </w:p>
    <w:p w:rsidR="000F2F8F" w:rsidRDefault="00736385">
      <w:pPr>
        <w:spacing w:line="276" w:lineRule="auto"/>
        <w:ind w:left="660" w:right="5226" w:firstLine="60"/>
      </w:pPr>
      <w:r>
        <w:rPr>
          <w:color w:val="581A18"/>
          <w:spacing w:val="7"/>
        </w:rPr>
        <w:t xml:space="preserve">Please </w:t>
      </w:r>
      <w:r>
        <w:rPr>
          <w:color w:val="581A18"/>
          <w:spacing w:val="6"/>
        </w:rPr>
        <w:t xml:space="preserve">read this </w:t>
      </w:r>
      <w:r>
        <w:rPr>
          <w:color w:val="581A18"/>
          <w:spacing w:val="8"/>
        </w:rPr>
        <w:t xml:space="preserve">information </w:t>
      </w:r>
      <w:r>
        <w:rPr>
          <w:color w:val="581A18"/>
          <w:spacing w:val="7"/>
        </w:rPr>
        <w:t xml:space="preserve">carefully </w:t>
      </w:r>
      <w:r>
        <w:rPr>
          <w:color w:val="581A18"/>
        </w:rPr>
        <w:t xml:space="preserve">– </w:t>
      </w:r>
      <w:r>
        <w:rPr>
          <w:color w:val="581A18"/>
          <w:spacing w:val="4"/>
        </w:rPr>
        <w:t xml:space="preserve">it </w:t>
      </w:r>
      <w:r>
        <w:rPr>
          <w:color w:val="581A18"/>
          <w:spacing w:val="6"/>
        </w:rPr>
        <w:t>may</w:t>
      </w:r>
      <w:r>
        <w:rPr>
          <w:color w:val="581A18"/>
          <w:spacing w:val="61"/>
        </w:rPr>
        <w:t xml:space="preserve"> </w:t>
      </w:r>
      <w:r>
        <w:rPr>
          <w:color w:val="581A18"/>
          <w:spacing w:val="7"/>
        </w:rPr>
        <w:t xml:space="preserve">save </w:t>
      </w:r>
      <w:r>
        <w:rPr>
          <w:color w:val="581A18"/>
          <w:spacing w:val="6"/>
        </w:rPr>
        <w:t xml:space="preserve">you </w:t>
      </w:r>
      <w:r>
        <w:rPr>
          <w:color w:val="581A18"/>
          <w:spacing w:val="4"/>
        </w:rPr>
        <w:t xml:space="preserve">an </w:t>
      </w:r>
      <w:r>
        <w:rPr>
          <w:color w:val="581A18"/>
          <w:spacing w:val="7"/>
        </w:rPr>
        <w:t xml:space="preserve">unnecessary </w:t>
      </w:r>
      <w:r>
        <w:rPr>
          <w:color w:val="581A18"/>
          <w:spacing w:val="6"/>
        </w:rPr>
        <w:t xml:space="preserve">trip </w:t>
      </w:r>
      <w:r>
        <w:rPr>
          <w:color w:val="581A18"/>
          <w:spacing w:val="4"/>
        </w:rPr>
        <w:t xml:space="preserve">to </w:t>
      </w:r>
      <w:r>
        <w:rPr>
          <w:color w:val="581A18"/>
          <w:spacing w:val="5"/>
        </w:rPr>
        <w:t xml:space="preserve">the </w:t>
      </w:r>
      <w:r>
        <w:rPr>
          <w:color w:val="581A18"/>
          <w:spacing w:val="7"/>
        </w:rPr>
        <w:t xml:space="preserve">surgery </w:t>
      </w:r>
      <w:r>
        <w:rPr>
          <w:color w:val="581A18"/>
          <w:spacing w:val="4"/>
        </w:rPr>
        <w:t xml:space="preserve">by </w:t>
      </w:r>
      <w:r>
        <w:rPr>
          <w:color w:val="581A18"/>
          <w:spacing w:val="7"/>
        </w:rPr>
        <w:t xml:space="preserve">talking </w:t>
      </w:r>
      <w:r>
        <w:rPr>
          <w:color w:val="581A18"/>
          <w:spacing w:val="6"/>
        </w:rPr>
        <w:t xml:space="preserve">this </w:t>
      </w:r>
      <w:r>
        <w:rPr>
          <w:color w:val="581A18"/>
          <w:spacing w:val="8"/>
        </w:rPr>
        <w:t xml:space="preserve">process </w:t>
      </w:r>
      <w:r>
        <w:rPr>
          <w:color w:val="581A18"/>
          <w:spacing w:val="7"/>
        </w:rPr>
        <w:t xml:space="preserve">through </w:t>
      </w:r>
      <w:r>
        <w:rPr>
          <w:color w:val="581A18"/>
          <w:spacing w:val="6"/>
        </w:rPr>
        <w:t xml:space="preserve">with </w:t>
      </w:r>
      <w:r>
        <w:rPr>
          <w:b/>
          <w:color w:val="581A18"/>
          <w:spacing w:val="6"/>
        </w:rPr>
        <w:t xml:space="preserve">your   </w:t>
      </w:r>
      <w:r>
        <w:rPr>
          <w:b/>
          <w:color w:val="581A18"/>
          <w:spacing w:val="8"/>
        </w:rPr>
        <w:t>specialist</w:t>
      </w:r>
      <w:r>
        <w:rPr>
          <w:color w:val="581A18"/>
          <w:spacing w:val="8"/>
        </w:rPr>
        <w:t>.</w:t>
      </w:r>
    </w:p>
    <w:p w:rsidR="000F2F8F" w:rsidRDefault="000F2F8F">
      <w:pPr>
        <w:pStyle w:val="BodyText"/>
      </w:pPr>
    </w:p>
    <w:p w:rsidR="000F2F8F" w:rsidRDefault="000F2F8F">
      <w:pPr>
        <w:pStyle w:val="BodyText"/>
      </w:pPr>
    </w:p>
    <w:p w:rsidR="000F2F8F" w:rsidRDefault="000F2F8F">
      <w:pPr>
        <w:pStyle w:val="BodyText"/>
        <w:spacing w:before="8"/>
        <w:rPr>
          <w:sz w:val="22"/>
        </w:rPr>
      </w:pPr>
    </w:p>
    <w:p w:rsidR="000F2F8F" w:rsidRDefault="000F2F8F">
      <w:pPr>
        <w:sectPr w:rsidR="000F2F8F">
          <w:type w:val="continuous"/>
          <w:pgSz w:w="12240" w:h="15840"/>
          <w:pgMar w:top="900" w:right="700" w:bottom="0" w:left="780" w:header="720" w:footer="720" w:gutter="0"/>
          <w:cols w:space="720"/>
        </w:sectPr>
      </w:pPr>
    </w:p>
    <w:p w:rsidR="000F2F8F" w:rsidRDefault="00736385">
      <w:pPr>
        <w:pStyle w:val="Heading1"/>
        <w:spacing w:before="29"/>
      </w:pPr>
      <w:r>
        <w:lastRenderedPageBreak/>
        <w:t>Hospital Tests &amp; Investigations</w:t>
      </w:r>
    </w:p>
    <w:p w:rsidR="000F2F8F" w:rsidRDefault="00736385">
      <w:pPr>
        <w:pStyle w:val="BodyText"/>
        <w:ind w:left="403" w:right="136"/>
        <w:jc w:val="both"/>
      </w:pPr>
      <w:r>
        <w:t>All tests and investigations required by the</w:t>
      </w:r>
      <w:r>
        <w:rPr>
          <w:spacing w:val="-22"/>
        </w:rPr>
        <w:t xml:space="preserve"> </w:t>
      </w:r>
      <w:r>
        <w:t>specialists must be ordered by them and the appointments sent to</w:t>
      </w:r>
      <w:r>
        <w:rPr>
          <w:spacing w:val="-2"/>
        </w:rPr>
        <w:t xml:space="preserve"> </w:t>
      </w:r>
      <w:r>
        <w:t>you.</w:t>
      </w:r>
    </w:p>
    <w:p w:rsidR="000F2F8F" w:rsidRDefault="00736385">
      <w:pPr>
        <w:pStyle w:val="BodyText"/>
        <w:ind w:left="403" w:right="-10"/>
      </w:pPr>
      <w:r>
        <w:t xml:space="preserve">If the specialist requires blood tests he/she should give you a request </w:t>
      </w:r>
      <w:proofErr w:type="spellStart"/>
      <w:r>
        <w:t>form</w:t>
      </w:r>
      <w:proofErr w:type="spellEnd"/>
      <w:r>
        <w:t xml:space="preserve"> which you can take to whoever normally provides blood tests in your area. This varies and may be your surgery, hospital or community clinic. The specialist is responsible for act</w:t>
      </w:r>
      <w:r>
        <w:t>ing upon the results of any test he/she requests and for informing you of the results.</w:t>
      </w:r>
    </w:p>
    <w:p w:rsidR="000F2F8F" w:rsidRDefault="00736385">
      <w:pPr>
        <w:pStyle w:val="BodyText"/>
        <w:ind w:left="403" w:right="-18"/>
      </w:pPr>
      <w:r>
        <w:t xml:space="preserve">If you haven’t heard from the specialist about a test </w:t>
      </w:r>
      <w:proofErr w:type="gramStart"/>
      <w:r>
        <w:t>result please ring</w:t>
      </w:r>
      <w:proofErr w:type="gramEnd"/>
      <w:r>
        <w:t xml:space="preserve"> his or her secretary at the hospital. Unfortunately your surgery may not know the result and wil</w:t>
      </w:r>
      <w:r>
        <w:t>l not know what the specialist intended to do with the information.</w:t>
      </w:r>
    </w:p>
    <w:p w:rsidR="000F2F8F" w:rsidRDefault="000F2F8F">
      <w:pPr>
        <w:pStyle w:val="BodyText"/>
        <w:spacing w:before="2"/>
      </w:pPr>
    </w:p>
    <w:p w:rsidR="000F2F8F" w:rsidRDefault="00736385">
      <w:pPr>
        <w:pStyle w:val="Heading1"/>
      </w:pPr>
      <w:r>
        <w:t>Hospital Prescriptions</w:t>
      </w:r>
    </w:p>
    <w:p w:rsidR="000F2F8F" w:rsidRDefault="00736385">
      <w:pPr>
        <w:pStyle w:val="BodyText"/>
        <w:ind w:left="403" w:right="18"/>
      </w:pPr>
      <w:r>
        <w:t>If the specialist prescribes a new medication or changes one that you are on please ask them to provide you with the first prescription. This may be on a white pres</w:t>
      </w:r>
      <w:r>
        <w:t>cription that can be used in the hospital pharmacy or on a green one that you can take to your normal pharmacy.</w:t>
      </w:r>
    </w:p>
    <w:p w:rsidR="000F2F8F" w:rsidRDefault="00736385">
      <w:pPr>
        <w:pStyle w:val="BodyText"/>
        <w:ind w:left="403" w:right="18"/>
      </w:pPr>
      <w:r>
        <w:t>Upon notification from the specialist your surgery may automatically add the medication change to your repeat list on the computer. You will the</w:t>
      </w:r>
      <w:r>
        <w:t>n be able to order re-supply without an appointment. You may need to telephone your surgery to confirm this or use on-line services if you have registered for them.</w:t>
      </w:r>
    </w:p>
    <w:p w:rsidR="000F2F8F" w:rsidRDefault="00736385">
      <w:pPr>
        <w:pStyle w:val="BodyText"/>
        <w:ind w:left="403" w:right="-18"/>
      </w:pPr>
      <w:r>
        <w:t>If you are uncertain what changes the specialist is making please ask them to explain it to</w:t>
      </w:r>
      <w:r>
        <w:t xml:space="preserve"> you at the appointment. It saves you having to see your GP to discuss something he or she may only know of from a short letter of explanation.</w:t>
      </w:r>
    </w:p>
    <w:p w:rsidR="000F2F8F" w:rsidRDefault="00736385">
      <w:pPr>
        <w:pStyle w:val="BodyText"/>
        <w:rPr>
          <w:sz w:val="34"/>
        </w:rPr>
      </w:pPr>
      <w:r>
        <w:br w:type="column"/>
      </w:r>
    </w:p>
    <w:p w:rsidR="000F2F8F" w:rsidRDefault="000F2F8F">
      <w:pPr>
        <w:pStyle w:val="BodyText"/>
        <w:rPr>
          <w:sz w:val="34"/>
        </w:rPr>
      </w:pPr>
    </w:p>
    <w:p w:rsidR="000F2F8F" w:rsidRDefault="000F2F8F">
      <w:pPr>
        <w:pStyle w:val="BodyText"/>
        <w:rPr>
          <w:sz w:val="34"/>
        </w:rPr>
      </w:pPr>
    </w:p>
    <w:p w:rsidR="000F2F8F" w:rsidRDefault="000F2F8F">
      <w:pPr>
        <w:pStyle w:val="BodyText"/>
        <w:rPr>
          <w:sz w:val="34"/>
        </w:rPr>
      </w:pPr>
    </w:p>
    <w:p w:rsidR="000F2F8F" w:rsidRDefault="000F2F8F">
      <w:pPr>
        <w:pStyle w:val="BodyText"/>
        <w:rPr>
          <w:sz w:val="34"/>
        </w:rPr>
      </w:pPr>
    </w:p>
    <w:p w:rsidR="000F2F8F" w:rsidRDefault="00736385">
      <w:pPr>
        <w:pStyle w:val="Heading1"/>
        <w:spacing w:before="254" w:line="242" w:lineRule="auto"/>
        <w:ind w:right="1061"/>
      </w:pPr>
      <w:r>
        <w:t>Sick or Fit Note (Med3) After Hospital Attendance</w:t>
      </w:r>
    </w:p>
    <w:p w:rsidR="000F2F8F" w:rsidRDefault="00736385">
      <w:pPr>
        <w:pStyle w:val="BodyText"/>
        <w:ind w:left="403" w:right="650"/>
      </w:pPr>
      <w:r>
        <w:t>If you need to be certified as unfit for work as a result of the treatment provided by your specialist (or therapist) he or she should issue a sick note when you are discharged from hospital or seen in the clinic. Please ask for one if you need it.</w:t>
      </w:r>
    </w:p>
    <w:p w:rsidR="000F2F8F" w:rsidRDefault="000F2F8F">
      <w:pPr>
        <w:pStyle w:val="BodyText"/>
        <w:spacing w:before="2"/>
        <w:rPr>
          <w:sz w:val="22"/>
        </w:rPr>
      </w:pPr>
    </w:p>
    <w:p w:rsidR="000F2F8F" w:rsidRDefault="00736385">
      <w:pPr>
        <w:pStyle w:val="Heading1"/>
        <w:ind w:right="1061"/>
      </w:pPr>
      <w:r>
        <w:t>Follow</w:t>
      </w:r>
      <w:r>
        <w:t xml:space="preserve"> Up Appointments</w:t>
      </w:r>
    </w:p>
    <w:p w:rsidR="000F2F8F" w:rsidRDefault="00736385">
      <w:pPr>
        <w:pStyle w:val="BodyText"/>
        <w:ind w:left="403" w:right="650"/>
      </w:pPr>
      <w:r>
        <w:t>If you need to be seen again the hospital will provide you with another appointment. Please ask the specialists’ secretary if it does not arrive in a timely way.</w:t>
      </w:r>
    </w:p>
    <w:p w:rsidR="000F2F8F" w:rsidRDefault="000F2F8F">
      <w:pPr>
        <w:pStyle w:val="BodyText"/>
        <w:spacing w:before="1"/>
      </w:pPr>
    </w:p>
    <w:p w:rsidR="000F2F8F" w:rsidRDefault="00736385">
      <w:pPr>
        <w:ind w:left="403" w:right="1779"/>
        <w:rPr>
          <w:b/>
          <w:sz w:val="24"/>
        </w:rPr>
      </w:pPr>
      <w:r>
        <w:rPr>
          <w:b/>
          <w:sz w:val="24"/>
        </w:rPr>
        <w:t>In summary, the specialists are responsible for:</w:t>
      </w:r>
    </w:p>
    <w:p w:rsidR="000F2F8F" w:rsidRDefault="00736385">
      <w:pPr>
        <w:pStyle w:val="Heading2"/>
        <w:numPr>
          <w:ilvl w:val="0"/>
          <w:numId w:val="1"/>
        </w:numPr>
        <w:tabs>
          <w:tab w:val="left" w:pos="1124"/>
        </w:tabs>
        <w:spacing w:line="302" w:lineRule="exact"/>
      </w:pPr>
      <w:r>
        <w:t>Looking after all your</w:t>
      </w:r>
      <w:r>
        <w:rPr>
          <w:spacing w:val="-9"/>
        </w:rPr>
        <w:t xml:space="preserve"> </w:t>
      </w:r>
      <w:r>
        <w:t>test</w:t>
      </w:r>
      <w:r>
        <w:t>s</w:t>
      </w:r>
    </w:p>
    <w:p w:rsidR="000F2F8F" w:rsidRDefault="00736385">
      <w:pPr>
        <w:pStyle w:val="ListParagraph"/>
        <w:numPr>
          <w:ilvl w:val="0"/>
          <w:numId w:val="1"/>
        </w:numPr>
        <w:tabs>
          <w:tab w:val="left" w:pos="1124"/>
        </w:tabs>
        <w:spacing w:before="30" w:line="290" w:lineRule="exact"/>
        <w:ind w:right="1316"/>
        <w:rPr>
          <w:sz w:val="24"/>
        </w:rPr>
      </w:pPr>
      <w:r>
        <w:rPr>
          <w:sz w:val="24"/>
        </w:rPr>
        <w:t>Providing prescriptions</w:t>
      </w:r>
      <w:r>
        <w:rPr>
          <w:spacing w:val="-13"/>
          <w:sz w:val="24"/>
        </w:rPr>
        <w:t xml:space="preserve"> </w:t>
      </w:r>
      <w:r>
        <w:rPr>
          <w:sz w:val="24"/>
        </w:rPr>
        <w:t>when needed</w:t>
      </w:r>
    </w:p>
    <w:p w:rsidR="000F2F8F" w:rsidRDefault="00736385">
      <w:pPr>
        <w:pStyle w:val="ListParagraph"/>
        <w:numPr>
          <w:ilvl w:val="0"/>
          <w:numId w:val="1"/>
        </w:numPr>
        <w:tabs>
          <w:tab w:val="left" w:pos="1124"/>
        </w:tabs>
        <w:spacing w:before="25"/>
        <w:rPr>
          <w:sz w:val="24"/>
        </w:rPr>
      </w:pPr>
      <w:r>
        <w:rPr>
          <w:sz w:val="24"/>
        </w:rPr>
        <w:t>Issuing a sick note if</w:t>
      </w:r>
      <w:r>
        <w:rPr>
          <w:spacing w:val="-15"/>
          <w:sz w:val="24"/>
        </w:rPr>
        <w:t xml:space="preserve"> </w:t>
      </w:r>
      <w:r>
        <w:rPr>
          <w:sz w:val="24"/>
        </w:rPr>
        <w:t>required</w:t>
      </w:r>
    </w:p>
    <w:p w:rsidR="000F2F8F" w:rsidRDefault="00736385">
      <w:pPr>
        <w:pStyle w:val="ListParagraph"/>
        <w:numPr>
          <w:ilvl w:val="0"/>
          <w:numId w:val="1"/>
        </w:numPr>
        <w:tabs>
          <w:tab w:val="left" w:pos="1124"/>
        </w:tabs>
        <w:spacing w:before="20"/>
        <w:ind w:right="1196"/>
        <w:rPr>
          <w:sz w:val="24"/>
        </w:rPr>
      </w:pPr>
      <w:r>
        <w:rPr>
          <w:sz w:val="24"/>
        </w:rPr>
        <w:t>Providing you with a follow up appointment if</w:t>
      </w:r>
      <w:r>
        <w:rPr>
          <w:spacing w:val="-12"/>
          <w:sz w:val="24"/>
        </w:rPr>
        <w:t xml:space="preserve"> </w:t>
      </w:r>
      <w:r>
        <w:rPr>
          <w:sz w:val="24"/>
        </w:rPr>
        <w:t>necessary.</w:t>
      </w:r>
    </w:p>
    <w:p w:rsidR="000F2F8F" w:rsidRDefault="000F2F8F">
      <w:pPr>
        <w:rPr>
          <w:sz w:val="24"/>
        </w:rPr>
        <w:sectPr w:rsidR="000F2F8F">
          <w:type w:val="continuous"/>
          <w:pgSz w:w="12240" w:h="15840"/>
          <w:pgMar w:top="900" w:right="700" w:bottom="0" w:left="780" w:header="720" w:footer="720" w:gutter="0"/>
          <w:cols w:num="2" w:space="720" w:equalWidth="0">
            <w:col w:w="4873" w:space="607"/>
            <w:col w:w="5280"/>
          </w:cols>
        </w:sectPr>
      </w:pPr>
    </w:p>
    <w:p w:rsidR="000F2F8F" w:rsidRDefault="000F2F8F">
      <w:pPr>
        <w:rPr>
          <w:sz w:val="2"/>
          <w:szCs w:val="2"/>
        </w:rPr>
      </w:pPr>
      <w:r w:rsidRPr="000F2F8F">
        <w:lastRenderedPageBreak/>
        <w:pict>
          <v:group id="_x0000_s1033" style="position:absolute;margin-left:45.55pt;margin-top:735.45pt;width:525.65pt;height:56.6pt;z-index:1048;mso-position-horizontal-relative:page;mso-position-vertical-relative:page" coordorigin="911,14709" coordsize="10513,11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911;top:14709;width:10513;height:1131">
              <v:imagedata r:id="rId5" o:title=""/>
            </v:shape>
            <v:shape id="_x0000_s1035" type="#_x0000_t75" style="position:absolute;left:979;top:14861;width:2880;height:785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911;top:14709;width:10513;height:1132" filled="f" stroked="f">
              <v:textbox inset="0,0,0,0">
                <w:txbxContent>
                  <w:p w:rsidR="000F2F8F" w:rsidRDefault="00736385">
                    <w:pPr>
                      <w:spacing w:before="72"/>
                      <w:ind w:right="151"/>
                      <w:jc w:val="right"/>
                    </w:pPr>
                    <w:r>
                      <w:rPr>
                        <w:color w:val="FFFFFF"/>
                      </w:rPr>
                      <w:t>Advice and Guidance for Patients on what to expect    – December 2016</w:t>
                    </w:r>
                  </w:p>
                  <w:p w:rsidR="000F2F8F" w:rsidRDefault="00736385">
                    <w:pPr>
                      <w:spacing w:before="38"/>
                      <w:ind w:right="162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Lancashire &amp;</w:t>
                    </w:r>
                    <w:r>
                      <w:rPr>
                        <w:b/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</w:rPr>
                      <w:t>Cumbria</w:t>
                    </w:r>
                    <w:proofErr w:type="spellEnd"/>
                    <w:r>
                      <w:rPr>
                        <w:b/>
                        <w:color w:val="FFFFFF"/>
                      </w:rPr>
                      <w:t xml:space="preserve"> Consortium of Local Medical   Committees</w:t>
                    </w:r>
                  </w:p>
                  <w:p w:rsidR="000F2F8F" w:rsidRDefault="00736385">
                    <w:pPr>
                      <w:spacing w:before="5"/>
                      <w:ind w:right="155"/>
                      <w:jc w:val="right"/>
                    </w:pPr>
                    <w:r>
                      <w:rPr>
                        <w:color w:val="FFFFFF"/>
                      </w:rPr>
                      <w:t xml:space="preserve">With thanks to </w:t>
                    </w:r>
                    <w:proofErr w:type="gramStart"/>
                    <w:r>
                      <w:rPr>
                        <w:color w:val="FFFFFF"/>
                      </w:rPr>
                      <w:t>Kent  LMC</w:t>
                    </w:r>
                    <w:proofErr w:type="gramEnd"/>
                  </w:p>
                </w:txbxContent>
              </v:textbox>
            </v:shape>
            <w10:wrap anchorx="page" anchory="page"/>
          </v:group>
        </w:pict>
      </w:r>
      <w:r w:rsidRPr="000F2F8F">
        <w:pict>
          <v:group id="_x0000_s1026" style="position:absolute;margin-left:44.65pt;margin-top:45pt;width:523.55pt;height:660.45pt;z-index:-3016;mso-position-horizontal-relative:page;mso-position-vertical-relative:page" coordorigin="893,900" coordsize="10471,13209">
            <v:shape id="_x0000_s1032" style="position:absolute;left:893;top:900;width:10454;height:4277" coordorigin="893,900" coordsize="10454,4277" path="m10634,900r-9028,l1528,904r-75,12l1381,936r-70,27l1246,997r-61,41l1128,1084r-51,51l1031,1192r-41,61l956,1318r-27,70l909,1460r-12,75l893,1613r,2851l897,4542r12,75l929,4689r27,70l990,4824r41,61l1077,4942r51,51l1185,5039r61,41l1311,5114r70,27l1453,5161r75,12l1606,5177r9028,l10712,5173r75,-12l10859,5141r70,-27l10994,5080r61,-41l11112,4993r51,-51l11209,4885r41,-61l11284,4759r27,-70l11331,4617r12,-75l11347,4464r,-2851l11343,1535r-12,-75l11311,1388r-27,-70l11250,1253r-41,-61l11163,1135r-51,-51l11055,1038r-61,-41l10929,963r-70,-27l10787,916r-75,-12l10634,900xe" fillcolor="#c3d59b" stroked="f">
              <v:path arrowok="t"/>
            </v:shape>
            <v:rect id="_x0000_s1031" style="position:absolute;left:911;top:1930;width:8198;height:131" fillcolor="#c3d59b" stroked="f"/>
            <v:line id="_x0000_s1030" style="position:absolute" from="911,2092" to="9109,2092" strokecolor="#c3d59b" strokeweight=".58322mm"/>
            <v:shape id="_x0000_s1029" style="position:absolute;left:6468;top:2114;width:4896;height:11995" coordorigin="6468,2114" coordsize="4896,11995" path="m10548,2114r-3264,l7210,2117r-73,10l7067,2143r-68,22l6934,2193r-62,32l6813,2263r-55,43l6707,2353r-47,51l6617,2459r-38,59l6547,2580r-28,65l6497,2713r-16,70l6471,2856r-3,74l6468,13293r3,74l6481,13440r16,70l6519,13578r28,65l6579,13705r38,59l6660,13819r47,51l6758,13917r55,43l6872,13998r62,32l6999,14058r68,22l7137,14096r73,10l7284,14109r3264,l10622,14106r73,-10l10765,14080r68,-22l10898,14030r62,-32l11019,13960r55,-43l11125,13870r47,-51l11215,13764r38,-59l11285,13643r28,-65l11335,13510r16,-70l11361,13367r3,-74l11364,2930r-3,-74l11351,2783r-16,-70l11313,2645r-28,-65l11253,2518r-38,-59l11172,2404r-47,-51l11074,2306r-55,-43l10960,2225r-62,-32l10833,2165r-68,-22l10695,2127r-73,-10l10548,2114xe" fillcolor="#c3d59b" stroked="f">
              <v:path arrowok="t"/>
            </v:shape>
            <v:shape id="_x0000_s1028" type="#_x0000_t75" style="position:absolute;left:6636;top:2496;width:4560;height:11230">
              <v:imagedata r:id="rId7" o:title=""/>
            </v:shape>
            <v:shape id="_x0000_s1027" type="#_x0000_t75" style="position:absolute;left:6780;top:2498;width:4272;height:4272">
              <v:imagedata r:id="rId8" o:title=""/>
            </v:shape>
            <w10:wrap anchorx="page" anchory="page"/>
          </v:group>
        </w:pict>
      </w:r>
    </w:p>
    <w:sectPr w:rsidR="000F2F8F" w:rsidSect="000F2F8F">
      <w:type w:val="continuous"/>
      <w:pgSz w:w="12240" w:h="15840"/>
      <w:pgMar w:top="900" w:right="700" w:bottom="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54072"/>
    <w:multiLevelType w:val="hybridMultilevel"/>
    <w:tmpl w:val="47866836"/>
    <w:lvl w:ilvl="0" w:tplc="618465B8">
      <w:start w:val="1"/>
      <w:numFmt w:val="bullet"/>
      <w:lvlText w:val=""/>
      <w:lvlJc w:val="left"/>
      <w:pPr>
        <w:ind w:left="11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70CC68E">
      <w:start w:val="1"/>
      <w:numFmt w:val="bullet"/>
      <w:lvlText w:val="•"/>
      <w:lvlJc w:val="left"/>
      <w:pPr>
        <w:ind w:left="1536" w:hanging="360"/>
      </w:pPr>
      <w:rPr>
        <w:rFonts w:hint="default"/>
      </w:rPr>
    </w:lvl>
    <w:lvl w:ilvl="2" w:tplc="DB9EFD2C">
      <w:start w:val="1"/>
      <w:numFmt w:val="bullet"/>
      <w:lvlText w:val="•"/>
      <w:lvlJc w:val="left"/>
      <w:pPr>
        <w:ind w:left="1951" w:hanging="360"/>
      </w:pPr>
      <w:rPr>
        <w:rFonts w:hint="default"/>
      </w:rPr>
    </w:lvl>
    <w:lvl w:ilvl="3" w:tplc="23223694">
      <w:start w:val="1"/>
      <w:numFmt w:val="bullet"/>
      <w:lvlText w:val="•"/>
      <w:lvlJc w:val="left"/>
      <w:pPr>
        <w:ind w:left="2367" w:hanging="360"/>
      </w:pPr>
      <w:rPr>
        <w:rFonts w:hint="default"/>
      </w:rPr>
    </w:lvl>
    <w:lvl w:ilvl="4" w:tplc="4E08D928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5" w:tplc="76AAB480">
      <w:start w:val="1"/>
      <w:numFmt w:val="bullet"/>
      <w:lvlText w:val="•"/>
      <w:lvlJc w:val="left"/>
      <w:pPr>
        <w:ind w:left="3199" w:hanging="360"/>
      </w:pPr>
      <w:rPr>
        <w:rFonts w:hint="default"/>
      </w:rPr>
    </w:lvl>
    <w:lvl w:ilvl="6" w:tplc="457C2B38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7" w:tplc="59F8F510">
      <w:start w:val="1"/>
      <w:numFmt w:val="bullet"/>
      <w:lvlText w:val="•"/>
      <w:lvlJc w:val="left"/>
      <w:pPr>
        <w:ind w:left="4031" w:hanging="360"/>
      </w:pPr>
      <w:rPr>
        <w:rFonts w:hint="default"/>
      </w:rPr>
    </w:lvl>
    <w:lvl w:ilvl="8" w:tplc="FB76AB6A">
      <w:start w:val="1"/>
      <w:numFmt w:val="bullet"/>
      <w:lvlText w:val="•"/>
      <w:lvlJc w:val="left"/>
      <w:pPr>
        <w:ind w:left="444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F2F8F"/>
    <w:rsid w:val="000F2F8F"/>
    <w:rsid w:val="00736385"/>
    <w:rsid w:val="00871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2F8F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0F2F8F"/>
    <w:pPr>
      <w:spacing w:line="427" w:lineRule="exact"/>
      <w:ind w:left="403" w:right="-18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1"/>
    <w:qFormat/>
    <w:rsid w:val="000F2F8F"/>
    <w:pPr>
      <w:ind w:left="1123" w:hanging="3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F2F8F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0F2F8F"/>
    <w:pPr>
      <w:ind w:left="1123" w:hanging="360"/>
    </w:pPr>
  </w:style>
  <w:style w:type="paragraph" w:customStyle="1" w:styleId="TableParagraph">
    <w:name w:val="Table Paragraph"/>
    <w:basedOn w:val="Normal"/>
    <w:uiPriority w:val="1"/>
    <w:qFormat/>
    <w:rsid w:val="000F2F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Pacific American Heritage Month flyer</dc:title>
  <dc:creator>Jessica Tomlinson</dc:creator>
  <cp:lastModifiedBy>Stephen Leeves</cp:lastModifiedBy>
  <cp:revision>2</cp:revision>
  <dcterms:created xsi:type="dcterms:W3CDTF">2023-08-04T12:08:00Z</dcterms:created>
  <dcterms:modified xsi:type="dcterms:W3CDTF">2023-08-04T12:08:00Z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2017-01-03T00:00:00Z</vt:filetime>
  </property>
</Properties>
</file>